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4EE2D1C2"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945DA4" w:rsidRPr="00945DA4">
        <w:rPr>
          <w:rFonts w:cs="Arial"/>
          <w:sz w:val="24"/>
        </w:rPr>
        <w:t>R4-2501985</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351356A8"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B429C0" w:rsidRPr="00B429C0">
        <w:rPr>
          <w:rFonts w:ascii="Arial" w:hAnsi="Arial"/>
          <w:bCs/>
          <w:szCs w:val="22"/>
          <w:lang w:val="en-US" w:eastAsia="zh-CN"/>
        </w:rPr>
        <w:t>PC2</w:t>
      </w:r>
      <w:r w:rsidR="00F74721">
        <w:rPr>
          <w:rFonts w:ascii="Arial" w:hAnsi="Arial"/>
          <w:bCs/>
          <w:szCs w:val="22"/>
          <w:lang w:val="en-US" w:eastAsia="zh-CN"/>
        </w:rPr>
        <w:t xml:space="preserve"> RSD</w:t>
      </w:r>
      <w:r w:rsidR="00B429C0" w:rsidRPr="00B429C0">
        <w:rPr>
          <w:rFonts w:ascii="Arial" w:hAnsi="Arial"/>
          <w:bCs/>
          <w:szCs w:val="22"/>
          <w:lang w:val="en-US" w:eastAsia="zh-CN"/>
        </w:rPr>
        <w:t xml:space="preserve"> for the </w:t>
      </w:r>
      <w:r w:rsidR="00F74721">
        <w:rPr>
          <w:rFonts w:ascii="Arial" w:hAnsi="Arial"/>
          <w:bCs/>
          <w:szCs w:val="22"/>
          <w:lang w:val="en-US" w:eastAsia="zh-CN"/>
        </w:rPr>
        <w:t>F</w:t>
      </w:r>
      <w:r w:rsidR="00B429C0" w:rsidRPr="00B429C0">
        <w:rPr>
          <w:rFonts w:ascii="Arial" w:hAnsi="Arial"/>
          <w:bCs/>
          <w:szCs w:val="22"/>
          <w:lang w:val="en-US" w:eastAsia="zh-CN"/>
        </w:rPr>
        <w:t xml:space="preserve">D-FDD </w:t>
      </w:r>
      <w:proofErr w:type="spellStart"/>
      <w:r w:rsidR="00B429C0" w:rsidRPr="00B429C0">
        <w:rPr>
          <w:rFonts w:ascii="Arial" w:hAnsi="Arial"/>
          <w:bCs/>
          <w:szCs w:val="22"/>
          <w:lang w:val="en-US" w:eastAsia="zh-CN"/>
        </w:rPr>
        <w:t>RedCap</w:t>
      </w:r>
      <w:proofErr w:type="spellEnd"/>
      <w:r w:rsidR="00B429C0" w:rsidRPr="00B429C0">
        <w:rPr>
          <w:rFonts w:ascii="Arial" w:hAnsi="Arial"/>
          <w:bCs/>
          <w:szCs w:val="22"/>
          <w:lang w:val="en-US" w:eastAsia="zh-CN"/>
        </w:rPr>
        <w:t xml:space="preserve"> UE</w:t>
      </w:r>
    </w:p>
    <w:p w14:paraId="2F83AED2" w14:textId="373750B4"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435225">
        <w:rPr>
          <w:rFonts w:ascii="Arial" w:hAnsi="Arial"/>
          <w:bCs/>
          <w:szCs w:val="22"/>
          <w:lang w:eastAsia="zh-CN"/>
        </w:rPr>
        <w:t>7.7.1</w:t>
      </w:r>
    </w:p>
    <w:p w14:paraId="69D67D90" w14:textId="0F4F7668"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0BF4D28A"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334A4D">
        <w:rPr>
          <w:rFonts w:eastAsia="SimSun"/>
          <w:bCs/>
          <w:sz w:val="20"/>
          <w:lang w:val="en-US" w:eastAsia="zh-CN"/>
        </w:rPr>
        <w:t xml:space="preserve">discusses </w:t>
      </w:r>
      <w:r w:rsidR="00A97978">
        <w:rPr>
          <w:rFonts w:eastAsia="SimSun"/>
          <w:bCs/>
          <w:sz w:val="20"/>
          <w:lang w:val="en-US" w:eastAsia="zh-CN"/>
        </w:rPr>
        <w:t xml:space="preserve">the </w:t>
      </w:r>
      <w:r w:rsidR="00334A4D">
        <w:rPr>
          <w:rFonts w:eastAsia="SimSun"/>
          <w:bCs/>
          <w:sz w:val="20"/>
          <w:lang w:val="en-US" w:eastAsia="zh-CN"/>
        </w:rPr>
        <w:t xml:space="preserve">PC2 </w:t>
      </w:r>
      <w:r w:rsidR="00323112">
        <w:rPr>
          <w:rFonts w:eastAsia="SimSun"/>
          <w:bCs/>
          <w:sz w:val="20"/>
          <w:lang w:val="en-US" w:eastAsia="zh-CN"/>
        </w:rPr>
        <w:t xml:space="preserve">RSD requirements for the FD-FDD </w:t>
      </w:r>
      <w:proofErr w:type="spellStart"/>
      <w:r w:rsidR="00334A4D">
        <w:rPr>
          <w:rFonts w:eastAsia="SimSun"/>
          <w:bCs/>
          <w:sz w:val="20"/>
          <w:lang w:val="en-US" w:eastAsia="zh-CN"/>
        </w:rPr>
        <w:t>RedCap</w:t>
      </w:r>
      <w:proofErr w:type="spellEnd"/>
      <w:r w:rsidR="00323112">
        <w:rPr>
          <w:rFonts w:eastAsia="SimSun"/>
          <w:bCs/>
          <w:sz w:val="20"/>
          <w:lang w:val="en-US" w:eastAsia="zh-CN"/>
        </w:rPr>
        <w:t xml:space="preserve"> UE.</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68D49749" w14:textId="601FE6F9" w:rsidR="00315AE4" w:rsidRDefault="00AD7F89" w:rsidP="00DB740D">
      <w:pPr>
        <w:spacing w:after="120"/>
        <w:jc w:val="both"/>
        <w:rPr>
          <w:sz w:val="20"/>
          <w:szCs w:val="18"/>
        </w:rPr>
      </w:pPr>
      <w:r>
        <w:rPr>
          <w:sz w:val="20"/>
          <w:szCs w:val="18"/>
        </w:rPr>
        <w:t xml:space="preserve">For the FD-FDD </w:t>
      </w:r>
      <w:proofErr w:type="spellStart"/>
      <w:r>
        <w:rPr>
          <w:sz w:val="20"/>
          <w:szCs w:val="18"/>
        </w:rPr>
        <w:t>RedCap</w:t>
      </w:r>
      <w:proofErr w:type="spellEnd"/>
      <w:r>
        <w:rPr>
          <w:sz w:val="20"/>
          <w:szCs w:val="18"/>
        </w:rPr>
        <w:t xml:space="preserve"> UE, the 1Rx REFSENS requirements are specified </w:t>
      </w:r>
      <w:r w:rsidR="00A872A3">
        <w:rPr>
          <w:sz w:val="20"/>
          <w:szCs w:val="18"/>
        </w:rPr>
        <w:t>that</w:t>
      </w:r>
      <w:r>
        <w:rPr>
          <w:sz w:val="20"/>
          <w:szCs w:val="18"/>
        </w:rPr>
        <w:t xml:space="preserve"> the 2Rx REFENS requirements increase by parameter </w:t>
      </w:r>
      <w:r>
        <w:rPr>
          <w:sz w:val="20"/>
          <w:szCs w:val="18"/>
        </w:rPr>
        <w:sym w:font="Symbol" w:char="F044"/>
      </w:r>
      <w:r>
        <w:rPr>
          <w:sz w:val="20"/>
          <w:szCs w:val="18"/>
        </w:rPr>
        <w:t>R</w:t>
      </w:r>
      <w:r w:rsidRPr="00AD7F89">
        <w:rPr>
          <w:sz w:val="20"/>
          <w:szCs w:val="18"/>
          <w:vertAlign w:val="subscript"/>
        </w:rPr>
        <w:t>1R</w:t>
      </w:r>
      <w:r w:rsidR="00A872A3">
        <w:rPr>
          <w:sz w:val="20"/>
          <w:szCs w:val="18"/>
          <w:vertAlign w:val="subscript"/>
        </w:rPr>
        <w:t>,</w:t>
      </w:r>
      <w:r>
        <w:rPr>
          <w:sz w:val="20"/>
          <w:szCs w:val="18"/>
          <w:vertAlign w:val="subscript"/>
        </w:rPr>
        <w:t xml:space="preserve"> </w:t>
      </w:r>
      <w:r w:rsidRPr="00AD7F89">
        <w:rPr>
          <w:sz w:val="20"/>
          <w:szCs w:val="18"/>
        </w:rPr>
        <w:t>specified</w:t>
      </w:r>
      <w:r>
        <w:rPr>
          <w:sz w:val="20"/>
          <w:szCs w:val="18"/>
        </w:rPr>
        <w:t xml:space="preserve"> in </w:t>
      </w:r>
      <w:r w:rsidRPr="00AD7F89">
        <w:rPr>
          <w:sz w:val="20"/>
          <w:szCs w:val="18"/>
        </w:rPr>
        <w:t>Table 7.3I.2-1</w:t>
      </w:r>
      <w:r w:rsidR="00A872A3">
        <w:rPr>
          <w:sz w:val="20"/>
          <w:szCs w:val="18"/>
        </w:rPr>
        <w:t>,</w:t>
      </w:r>
      <w:r>
        <w:rPr>
          <w:sz w:val="20"/>
          <w:szCs w:val="18"/>
        </w:rPr>
        <w:t xml:space="preserve"> based on </w:t>
      </w:r>
      <w:r w:rsidRPr="00AD7F89">
        <w:rPr>
          <w:sz w:val="20"/>
          <w:szCs w:val="18"/>
        </w:rPr>
        <w:t xml:space="preserve">LTE Cat-1bis </w:t>
      </w:r>
      <w:r>
        <w:rPr>
          <w:sz w:val="20"/>
          <w:szCs w:val="18"/>
        </w:rPr>
        <w:t>agreements</w:t>
      </w:r>
      <w:r w:rsidR="00E708B2">
        <w:rPr>
          <w:sz w:val="20"/>
          <w:szCs w:val="18"/>
        </w:rPr>
        <w:t xml:space="preserve"> for 5, 10, 15, 20MHz CBW.</w:t>
      </w:r>
    </w:p>
    <w:p w14:paraId="093E9672" w14:textId="5331BC6A" w:rsidR="00E708B2" w:rsidRDefault="00E708B2" w:rsidP="00DB740D">
      <w:pPr>
        <w:spacing w:after="0"/>
        <w:jc w:val="center"/>
        <w:rPr>
          <w:sz w:val="20"/>
        </w:rPr>
      </w:pPr>
      <w:r w:rsidRPr="00E708B2">
        <w:rPr>
          <w:noProof/>
          <w:sz w:val="20"/>
        </w:rPr>
        <w:drawing>
          <wp:inline distT="0" distB="0" distL="0" distR="0" wp14:anchorId="36162220" wp14:editId="61146E24">
            <wp:extent cx="5126363" cy="820452"/>
            <wp:effectExtent l="38100" t="38100" r="93345" b="93980"/>
            <wp:docPr id="1055953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953113" name=""/>
                    <pic:cNvPicPr/>
                  </pic:nvPicPr>
                  <pic:blipFill>
                    <a:blip r:embed="rId9"/>
                    <a:stretch>
                      <a:fillRect/>
                    </a:stretch>
                  </pic:blipFill>
                  <pic:spPr>
                    <a:xfrm>
                      <a:off x="0" y="0"/>
                      <a:ext cx="5168209" cy="827149"/>
                    </a:xfrm>
                    <a:prstGeom prst="rect">
                      <a:avLst/>
                    </a:prstGeom>
                    <a:effectLst>
                      <a:outerShdw blurRad="50800" dist="38100" dir="2700000" algn="tl" rotWithShape="0">
                        <a:prstClr val="black">
                          <a:alpha val="40000"/>
                        </a:prstClr>
                      </a:outerShdw>
                    </a:effectLst>
                  </pic:spPr>
                </pic:pic>
              </a:graphicData>
            </a:graphic>
          </wp:inline>
        </w:drawing>
      </w:r>
    </w:p>
    <w:p w14:paraId="13CE6398" w14:textId="42ECD9A4" w:rsidR="009A608D" w:rsidRDefault="009A608D" w:rsidP="00DB740D">
      <w:pPr>
        <w:spacing w:after="120"/>
        <w:jc w:val="both"/>
        <w:rPr>
          <w:sz w:val="20"/>
          <w:szCs w:val="18"/>
        </w:rPr>
      </w:pPr>
      <w:r>
        <w:rPr>
          <w:rFonts w:eastAsia="Times New Roman"/>
          <w:sz w:val="20"/>
          <w:lang w:eastAsia="zh-CN"/>
        </w:rPr>
        <w:t xml:space="preserve">To our limited understanding on how the </w:t>
      </w:r>
      <w:r>
        <w:rPr>
          <w:sz w:val="20"/>
          <w:szCs w:val="18"/>
        </w:rPr>
        <w:sym w:font="Symbol" w:char="F044"/>
      </w:r>
      <w:r>
        <w:rPr>
          <w:sz w:val="20"/>
          <w:szCs w:val="18"/>
        </w:rPr>
        <w:t>R</w:t>
      </w:r>
      <w:r w:rsidRPr="00AD7F89">
        <w:rPr>
          <w:sz w:val="20"/>
          <w:szCs w:val="18"/>
          <w:vertAlign w:val="subscript"/>
        </w:rPr>
        <w:t>1R</w:t>
      </w:r>
      <w:r>
        <w:rPr>
          <w:sz w:val="20"/>
          <w:szCs w:val="18"/>
          <w:vertAlign w:val="subscript"/>
        </w:rPr>
        <w:t xml:space="preserve"> </w:t>
      </w:r>
      <w:r>
        <w:rPr>
          <w:sz w:val="20"/>
          <w:szCs w:val="18"/>
        </w:rPr>
        <w:t>requirements were derived for LTE Cat-1bis, it is unclear if at that time, the impact of Tx noise self-</w:t>
      </w:r>
      <w:proofErr w:type="spellStart"/>
      <w:r>
        <w:rPr>
          <w:sz w:val="20"/>
          <w:szCs w:val="18"/>
        </w:rPr>
        <w:t>desense</w:t>
      </w:r>
      <w:proofErr w:type="spellEnd"/>
      <w:r w:rsidR="00E808E4">
        <w:rPr>
          <w:sz w:val="20"/>
          <w:szCs w:val="18"/>
        </w:rPr>
        <w:t xml:space="preserve"> in bands with large CBW relative to the Tx-Rx gap (</w:t>
      </w:r>
      <w:proofErr w:type="spellStart"/>
      <w:r w:rsidR="00E808E4">
        <w:rPr>
          <w:sz w:val="20"/>
          <w:szCs w:val="18"/>
        </w:rPr>
        <w:t>eg.</w:t>
      </w:r>
      <w:proofErr w:type="spellEnd"/>
      <w:r w:rsidR="00E808E4">
        <w:rPr>
          <w:sz w:val="20"/>
          <w:szCs w:val="18"/>
        </w:rPr>
        <w:t xml:space="preserve"> Band n8 20MHz CBW) </w:t>
      </w:r>
      <w:r w:rsidR="00A872A3">
        <w:rPr>
          <w:sz w:val="20"/>
          <w:szCs w:val="18"/>
        </w:rPr>
        <w:t xml:space="preserve">were </w:t>
      </w:r>
      <w:r w:rsidR="00E808E4">
        <w:rPr>
          <w:sz w:val="20"/>
          <w:szCs w:val="18"/>
        </w:rPr>
        <w:t xml:space="preserve">accounted for. We do not intend to challenge the legacy agreements, but it may be worth cross-checking if applying a “constant” </w:t>
      </w:r>
      <w:r w:rsidR="00E808E4">
        <w:rPr>
          <w:sz w:val="20"/>
          <w:szCs w:val="18"/>
        </w:rPr>
        <w:sym w:font="Symbol" w:char="F044"/>
      </w:r>
      <w:r w:rsidR="00E808E4">
        <w:rPr>
          <w:sz w:val="20"/>
          <w:szCs w:val="18"/>
        </w:rPr>
        <w:t>R</w:t>
      </w:r>
      <w:r w:rsidR="00E808E4" w:rsidRPr="00AD7F89">
        <w:rPr>
          <w:sz w:val="20"/>
          <w:szCs w:val="18"/>
          <w:vertAlign w:val="subscript"/>
        </w:rPr>
        <w:t>1R</w:t>
      </w:r>
      <w:r w:rsidR="00E808E4">
        <w:rPr>
          <w:sz w:val="20"/>
          <w:szCs w:val="18"/>
        </w:rPr>
        <w:t xml:space="preserve"> </w:t>
      </w:r>
      <w:r w:rsidR="00DB740D">
        <w:rPr>
          <w:sz w:val="20"/>
          <w:szCs w:val="18"/>
        </w:rPr>
        <w:t xml:space="preserve">across all applicable </w:t>
      </w:r>
      <w:r w:rsidR="00E808E4">
        <w:rPr>
          <w:sz w:val="20"/>
          <w:szCs w:val="18"/>
        </w:rPr>
        <w:t>FDD bands is valid for CBW</w:t>
      </w:r>
      <w:r w:rsidR="00DB740D">
        <w:rPr>
          <w:sz w:val="20"/>
          <w:szCs w:val="18"/>
        </w:rPr>
        <w:t xml:space="preserve"> where the UE may be</w:t>
      </w:r>
      <w:r w:rsidR="00E808E4">
        <w:rPr>
          <w:sz w:val="20"/>
          <w:szCs w:val="18"/>
        </w:rPr>
        <w:t xml:space="preserve"> affected by Tx noise leakage self-</w:t>
      </w:r>
      <w:proofErr w:type="spellStart"/>
      <w:r w:rsidR="00E808E4">
        <w:rPr>
          <w:sz w:val="20"/>
          <w:szCs w:val="18"/>
        </w:rPr>
        <w:t>desense</w:t>
      </w:r>
      <w:proofErr w:type="spellEnd"/>
      <w:r w:rsidR="00E808E4">
        <w:rPr>
          <w:sz w:val="20"/>
          <w:szCs w:val="18"/>
        </w:rPr>
        <w:t>.</w:t>
      </w:r>
    </w:p>
    <w:p w14:paraId="7A0942D6" w14:textId="121EEEC2" w:rsidR="00681CAF" w:rsidRDefault="00DB740D" w:rsidP="00DB740D">
      <w:pPr>
        <w:spacing w:after="120"/>
        <w:rPr>
          <w:sz w:val="20"/>
          <w:szCs w:val="18"/>
        </w:rPr>
      </w:pPr>
      <w:r w:rsidRPr="005D283F">
        <w:rPr>
          <w:rFonts w:eastAsia="Times New Roman"/>
          <w:b/>
          <w:bCs/>
          <w:sz w:val="20"/>
          <w:lang w:eastAsia="zh-CN"/>
        </w:rPr>
        <w:t>Observation</w:t>
      </w:r>
      <w:r>
        <w:rPr>
          <w:rFonts w:eastAsia="Times New Roman"/>
          <w:sz w:val="20"/>
          <w:lang w:eastAsia="zh-CN"/>
        </w:rPr>
        <w:t xml:space="preserve">: It is not clear if the </w:t>
      </w:r>
      <w:r>
        <w:rPr>
          <w:sz w:val="20"/>
          <w:szCs w:val="18"/>
        </w:rPr>
        <w:t xml:space="preserve">LTE Cat-1bis “constant” 2Rx REFSENS derating using </w:t>
      </w:r>
      <w:r>
        <w:rPr>
          <w:sz w:val="20"/>
          <w:szCs w:val="18"/>
        </w:rPr>
        <w:sym w:font="Symbol" w:char="F044"/>
      </w:r>
      <w:r>
        <w:rPr>
          <w:sz w:val="20"/>
          <w:szCs w:val="18"/>
        </w:rPr>
        <w:t>R</w:t>
      </w:r>
      <w:r w:rsidRPr="00AD7F89">
        <w:rPr>
          <w:sz w:val="20"/>
          <w:szCs w:val="18"/>
          <w:vertAlign w:val="subscript"/>
        </w:rPr>
        <w:t>1R</w:t>
      </w:r>
      <w:r>
        <w:rPr>
          <w:sz w:val="20"/>
          <w:szCs w:val="18"/>
        </w:rPr>
        <w:t xml:space="preserve"> is valid for CBW in FDD bands that may be affected by Tx noise leakage self-</w:t>
      </w:r>
      <w:proofErr w:type="spellStart"/>
      <w:r>
        <w:rPr>
          <w:sz w:val="20"/>
          <w:szCs w:val="18"/>
        </w:rPr>
        <w:t>desense</w:t>
      </w:r>
      <w:proofErr w:type="spellEnd"/>
      <w:r>
        <w:rPr>
          <w:sz w:val="20"/>
          <w:szCs w:val="18"/>
        </w:rPr>
        <w:t xml:space="preserve">.  </w:t>
      </w:r>
    </w:p>
    <w:p w14:paraId="58E3B9C2" w14:textId="212F5300" w:rsidR="007C603F" w:rsidRPr="00E808E4" w:rsidRDefault="007C603F" w:rsidP="00E808E4">
      <w:pPr>
        <w:spacing w:after="120"/>
        <w:rPr>
          <w:rFonts w:eastAsia="Times New Roman"/>
          <w:sz w:val="20"/>
          <w:lang w:eastAsia="zh-CN"/>
        </w:rPr>
      </w:pPr>
      <w:r>
        <w:rPr>
          <w:sz w:val="20"/>
          <w:szCs w:val="18"/>
        </w:rPr>
        <w:t xml:space="preserve">Under the assumption that </w:t>
      </w:r>
      <w:r w:rsidR="009259F6">
        <w:rPr>
          <w:sz w:val="20"/>
          <w:szCs w:val="18"/>
        </w:rPr>
        <w:sym w:font="Symbol" w:char="F044"/>
      </w:r>
      <w:r w:rsidR="009259F6">
        <w:rPr>
          <w:sz w:val="20"/>
          <w:szCs w:val="18"/>
        </w:rPr>
        <w:t>R</w:t>
      </w:r>
      <w:r w:rsidR="009259F6" w:rsidRPr="00AD7F89">
        <w:rPr>
          <w:sz w:val="20"/>
          <w:szCs w:val="18"/>
          <w:vertAlign w:val="subscript"/>
        </w:rPr>
        <w:t>1R</w:t>
      </w:r>
      <w:r w:rsidR="009259F6">
        <w:rPr>
          <w:sz w:val="20"/>
          <w:szCs w:val="18"/>
          <w:vertAlign w:val="subscript"/>
        </w:rPr>
        <w:t xml:space="preserve"> </w:t>
      </w:r>
      <w:r w:rsidR="009259F6">
        <w:rPr>
          <w:rFonts w:eastAsia="Times New Roman"/>
          <w:sz w:val="20"/>
          <w:lang w:eastAsia="zh-CN"/>
        </w:rPr>
        <w:t>can be applied to all FDD bands and all CBW, it can be assumed that the 1Tx RSD currently specified for 2Rx can also be applied to 1Rx REFSENS requirement.</w:t>
      </w:r>
    </w:p>
    <w:p w14:paraId="6BC19393" w14:textId="136633BC" w:rsidR="005A1364" w:rsidRDefault="00171ED3" w:rsidP="00171ED3">
      <w:pPr>
        <w:tabs>
          <w:tab w:val="left" w:pos="3514"/>
        </w:tabs>
        <w:overflowPunct w:val="0"/>
        <w:autoSpaceDE w:val="0"/>
        <w:autoSpaceDN w:val="0"/>
        <w:adjustRightInd w:val="0"/>
        <w:spacing w:after="0"/>
        <w:jc w:val="both"/>
        <w:textAlignment w:val="baseline"/>
        <w:rPr>
          <w:rFonts w:eastAsia="Times New Roman"/>
          <w:b/>
          <w:bCs/>
          <w:sz w:val="20"/>
          <w:lang w:val="en-US" w:eastAsia="zh-CN"/>
        </w:rPr>
      </w:pPr>
      <w:bookmarkStart w:id="4" w:name="_Hlk189728652"/>
      <w:r w:rsidRPr="00056D49">
        <w:rPr>
          <w:rFonts w:eastAsia="Times New Roman"/>
          <w:b/>
          <w:bCs/>
          <w:sz w:val="20"/>
          <w:lang w:val="en-US" w:eastAsia="zh-CN"/>
        </w:rPr>
        <w:t>Proposal</w:t>
      </w:r>
      <w:r>
        <w:rPr>
          <w:rFonts w:eastAsia="Times New Roman"/>
          <w:sz w:val="20"/>
          <w:lang w:val="en-US" w:eastAsia="zh-CN"/>
        </w:rPr>
        <w:t xml:space="preserve">: </w:t>
      </w:r>
      <w:r w:rsidR="009259F6">
        <w:rPr>
          <w:rFonts w:eastAsia="Times New Roman"/>
          <w:b/>
          <w:bCs/>
          <w:sz w:val="20"/>
          <w:lang w:val="en-US" w:eastAsia="zh-CN"/>
        </w:rPr>
        <w:t xml:space="preserve">The PC2 FD-FDD 1Rx REFSENS requirement is specified as PC3 FD-FDD 1Rx REFSENS increased by RSD specified in </w:t>
      </w:r>
      <w:r w:rsidR="009259F6" w:rsidRPr="009259F6">
        <w:rPr>
          <w:rFonts w:eastAsia="Times New Roman"/>
          <w:b/>
          <w:bCs/>
          <w:sz w:val="20"/>
          <w:lang w:val="en-US" w:eastAsia="zh-CN"/>
        </w:rPr>
        <w:t>Table 7.3.2-1c</w:t>
      </w:r>
      <w:r w:rsidR="009259F6">
        <w:rPr>
          <w:rFonts w:eastAsia="Times New Roman"/>
          <w:b/>
          <w:bCs/>
          <w:sz w:val="20"/>
          <w:lang w:val="en-US" w:eastAsia="zh-CN"/>
        </w:rPr>
        <w:t>. An example of core-requirement changes is proposed as a starting point below.</w:t>
      </w:r>
    </w:p>
    <w:p w14:paraId="0E7558AB" w14:textId="77777777" w:rsidR="009259F6" w:rsidRDefault="009259F6" w:rsidP="00171ED3">
      <w:pPr>
        <w:tabs>
          <w:tab w:val="left" w:pos="3514"/>
        </w:tabs>
        <w:overflowPunct w:val="0"/>
        <w:autoSpaceDE w:val="0"/>
        <w:autoSpaceDN w:val="0"/>
        <w:adjustRightInd w:val="0"/>
        <w:spacing w:after="0"/>
        <w:jc w:val="both"/>
        <w:textAlignment w:val="baseline"/>
        <w:rPr>
          <w:sz w:val="20"/>
        </w:rPr>
      </w:pPr>
    </w:p>
    <w:p w14:paraId="658CB6C1" w14:textId="19BB9339" w:rsidR="009259F6" w:rsidRPr="00171ED3" w:rsidRDefault="000749E8" w:rsidP="00171ED3">
      <w:pPr>
        <w:tabs>
          <w:tab w:val="left" w:pos="3514"/>
        </w:tabs>
        <w:overflowPunct w:val="0"/>
        <w:autoSpaceDE w:val="0"/>
        <w:autoSpaceDN w:val="0"/>
        <w:adjustRightInd w:val="0"/>
        <w:spacing w:after="0"/>
        <w:jc w:val="both"/>
        <w:textAlignment w:val="baseline"/>
        <w:rPr>
          <w:sz w:val="20"/>
          <w:szCs w:val="18"/>
        </w:rPr>
      </w:pPr>
      <w:r>
        <w:rPr>
          <w:sz w:val="20"/>
        </w:rPr>
        <w:t>“</w:t>
      </w:r>
      <w:r w:rsidR="009259F6">
        <w:rPr>
          <w:sz w:val="20"/>
        </w:rPr>
        <w:t xml:space="preserve">For a power class 3 </w:t>
      </w:r>
      <w:proofErr w:type="spellStart"/>
      <w:r w:rsidR="009259F6">
        <w:rPr>
          <w:sz w:val="20"/>
        </w:rPr>
        <w:t>RedCap</w:t>
      </w:r>
      <w:proofErr w:type="spellEnd"/>
      <w:r w:rsidR="009259F6">
        <w:rPr>
          <w:sz w:val="20"/>
        </w:rPr>
        <w:t xml:space="preserve"> UE equipped with 1 Rx antenna ports, reference sensitivity for 2Rx antenna ports in Table 7.3.2-1a and in Table 7.3.2-1b shall be modified by the amount given in ΔR</w:t>
      </w:r>
      <w:r w:rsidR="009259F6">
        <w:rPr>
          <w:sz w:val="13"/>
          <w:szCs w:val="13"/>
        </w:rPr>
        <w:t xml:space="preserve">1R </w:t>
      </w:r>
      <w:r w:rsidR="009259F6">
        <w:rPr>
          <w:sz w:val="20"/>
        </w:rPr>
        <w:t xml:space="preserve">in Table 7.3I.2-1 for the applicable operating bands. For a power class 2 </w:t>
      </w:r>
      <w:proofErr w:type="spellStart"/>
      <w:r w:rsidR="009259F6">
        <w:rPr>
          <w:sz w:val="20"/>
        </w:rPr>
        <w:t>RedCap</w:t>
      </w:r>
      <w:proofErr w:type="spellEnd"/>
      <w:r w:rsidR="009259F6">
        <w:rPr>
          <w:sz w:val="20"/>
        </w:rPr>
        <w:t xml:space="preserve"> UE equipped with 1 Rx antenna port, certain degradation of the reference sensitivity in Table 7.3.2-1a is allowed and the reference sensitivity for 2Rx antenna ports in Table 7.3.2-1a shall be modified by the amount given in Table 7.3.2-1c for the applicable operating bands.</w:t>
      </w:r>
      <w:r>
        <w:rPr>
          <w:sz w:val="20"/>
        </w:rPr>
        <w:t>”</w:t>
      </w:r>
    </w:p>
    <w:bookmarkEnd w:id="4"/>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0B46B4B7" w:rsidR="004D0389" w:rsidRDefault="00434713" w:rsidP="00681CAF">
      <w:pPr>
        <w:tabs>
          <w:tab w:val="left" w:pos="3514"/>
        </w:tabs>
        <w:overflowPunct w:val="0"/>
        <w:autoSpaceDE w:val="0"/>
        <w:autoSpaceDN w:val="0"/>
        <w:adjustRightInd w:val="0"/>
        <w:spacing w:after="120"/>
        <w:jc w:val="both"/>
        <w:textAlignment w:val="baseline"/>
        <w:rPr>
          <w:rFonts w:eastAsia="Times New Roman"/>
          <w:sz w:val="20"/>
          <w:lang w:eastAsia="en-GB"/>
        </w:rPr>
      </w:pPr>
      <w:r>
        <w:rPr>
          <w:rFonts w:eastAsia="Times New Roman"/>
          <w:sz w:val="20"/>
          <w:lang w:eastAsia="en-GB"/>
        </w:rPr>
        <w:t xml:space="preserve">This contribution summarizes </w:t>
      </w:r>
      <w:r w:rsidR="00BE183E">
        <w:rPr>
          <w:rFonts w:eastAsia="Times New Roman"/>
          <w:sz w:val="20"/>
          <w:lang w:eastAsia="en-GB"/>
        </w:rPr>
        <w:t xml:space="preserve">our views </w:t>
      </w:r>
      <w:r w:rsidR="00681CAF">
        <w:rPr>
          <w:rFonts w:eastAsia="Times New Roman"/>
          <w:sz w:val="20"/>
          <w:lang w:eastAsia="en-GB"/>
        </w:rPr>
        <w:t xml:space="preserve">regarding the </w:t>
      </w:r>
      <w:r w:rsidR="00DB740D">
        <w:rPr>
          <w:rFonts w:eastAsia="Times New Roman"/>
          <w:sz w:val="20"/>
          <w:lang w:eastAsia="en-GB"/>
        </w:rPr>
        <w:t>RSD</w:t>
      </w:r>
      <w:r w:rsidR="00171ED3">
        <w:rPr>
          <w:rFonts w:eastAsia="Times New Roman"/>
          <w:sz w:val="20"/>
          <w:lang w:eastAsia="en-GB"/>
        </w:rPr>
        <w:t xml:space="preserve"> requirements for the PC2 </w:t>
      </w:r>
      <w:r w:rsidR="00737D47">
        <w:rPr>
          <w:rFonts w:eastAsia="Times New Roman"/>
          <w:sz w:val="20"/>
          <w:lang w:eastAsia="en-GB"/>
        </w:rPr>
        <w:t>F</w:t>
      </w:r>
      <w:r w:rsidR="00171ED3">
        <w:rPr>
          <w:rFonts w:eastAsia="Times New Roman"/>
          <w:sz w:val="20"/>
          <w:lang w:eastAsia="en-GB"/>
        </w:rPr>
        <w:t xml:space="preserve">D-FDD </w:t>
      </w:r>
      <w:proofErr w:type="spellStart"/>
      <w:r w:rsidR="00171ED3">
        <w:rPr>
          <w:rFonts w:eastAsia="Times New Roman"/>
          <w:sz w:val="20"/>
          <w:lang w:eastAsia="en-GB"/>
        </w:rPr>
        <w:t>RedCap</w:t>
      </w:r>
      <w:proofErr w:type="spellEnd"/>
      <w:r w:rsidR="00171ED3">
        <w:rPr>
          <w:rFonts w:eastAsia="Times New Roman"/>
          <w:sz w:val="20"/>
          <w:lang w:eastAsia="en-GB"/>
        </w:rPr>
        <w:t xml:space="preserve"> UE.</w:t>
      </w:r>
    </w:p>
    <w:p w14:paraId="1DA870FA" w14:textId="4403745D" w:rsidR="00DB740D" w:rsidRDefault="00DB740D" w:rsidP="00DB740D">
      <w:pPr>
        <w:spacing w:after="120"/>
        <w:rPr>
          <w:sz w:val="20"/>
          <w:szCs w:val="18"/>
        </w:rPr>
      </w:pPr>
      <w:r w:rsidRPr="005D283F">
        <w:rPr>
          <w:rFonts w:eastAsia="Times New Roman"/>
          <w:b/>
          <w:bCs/>
          <w:sz w:val="20"/>
          <w:lang w:eastAsia="zh-CN"/>
        </w:rPr>
        <w:t>Observation</w:t>
      </w:r>
      <w:r>
        <w:rPr>
          <w:rFonts w:eastAsia="Times New Roman"/>
          <w:sz w:val="20"/>
          <w:lang w:eastAsia="zh-CN"/>
        </w:rPr>
        <w:t xml:space="preserve">: It is not clear if the </w:t>
      </w:r>
      <w:r>
        <w:rPr>
          <w:sz w:val="20"/>
          <w:szCs w:val="18"/>
        </w:rPr>
        <w:t xml:space="preserve">LTE Cat-1bis “constant” 2Rx REFSENS derating using </w:t>
      </w:r>
      <w:r>
        <w:rPr>
          <w:sz w:val="20"/>
          <w:szCs w:val="18"/>
        </w:rPr>
        <w:sym w:font="Symbol" w:char="F044"/>
      </w:r>
      <w:r>
        <w:rPr>
          <w:sz w:val="20"/>
          <w:szCs w:val="18"/>
        </w:rPr>
        <w:t>R</w:t>
      </w:r>
      <w:r w:rsidRPr="00AD7F89">
        <w:rPr>
          <w:sz w:val="20"/>
          <w:szCs w:val="18"/>
          <w:vertAlign w:val="subscript"/>
        </w:rPr>
        <w:t>1R</w:t>
      </w:r>
      <w:r>
        <w:rPr>
          <w:sz w:val="20"/>
          <w:szCs w:val="18"/>
        </w:rPr>
        <w:t xml:space="preserve"> is valid for CBW in FDD bands that may be affected by Tx noise leakage self-</w:t>
      </w:r>
      <w:proofErr w:type="spellStart"/>
      <w:r>
        <w:rPr>
          <w:sz w:val="20"/>
          <w:szCs w:val="18"/>
        </w:rPr>
        <w:t>desense</w:t>
      </w:r>
      <w:proofErr w:type="spellEnd"/>
      <w:r>
        <w:rPr>
          <w:sz w:val="20"/>
          <w:szCs w:val="18"/>
        </w:rPr>
        <w:t xml:space="preserve">.  </w:t>
      </w:r>
    </w:p>
    <w:p w14:paraId="6F805FB8" w14:textId="1344B0BC" w:rsidR="00DB740D" w:rsidRDefault="00DB740D" w:rsidP="00DB740D">
      <w:pPr>
        <w:tabs>
          <w:tab w:val="left" w:pos="3514"/>
        </w:tabs>
        <w:overflowPunct w:val="0"/>
        <w:autoSpaceDE w:val="0"/>
        <w:autoSpaceDN w:val="0"/>
        <w:adjustRightInd w:val="0"/>
        <w:spacing w:after="0"/>
        <w:jc w:val="both"/>
        <w:textAlignment w:val="baseline"/>
        <w:rPr>
          <w:rFonts w:eastAsia="Times New Roman"/>
          <w:b/>
          <w:bCs/>
          <w:sz w:val="20"/>
          <w:lang w:val="en-US" w:eastAsia="zh-CN"/>
        </w:rPr>
      </w:pPr>
      <w:r w:rsidRPr="00056D49">
        <w:rPr>
          <w:rFonts w:eastAsia="Times New Roman"/>
          <w:b/>
          <w:bCs/>
          <w:sz w:val="20"/>
          <w:lang w:val="en-US" w:eastAsia="zh-CN"/>
        </w:rPr>
        <w:t>Proposal</w:t>
      </w:r>
      <w:r>
        <w:rPr>
          <w:rFonts w:eastAsia="Times New Roman"/>
          <w:sz w:val="20"/>
          <w:lang w:val="en-US" w:eastAsia="zh-CN"/>
        </w:rPr>
        <w:t xml:space="preserve">: </w:t>
      </w:r>
      <w:r>
        <w:rPr>
          <w:rFonts w:eastAsia="Times New Roman"/>
          <w:b/>
          <w:bCs/>
          <w:sz w:val="20"/>
          <w:lang w:val="en-US" w:eastAsia="zh-CN"/>
        </w:rPr>
        <w:t xml:space="preserve">The PC2 FD-FDD 1Rx REFSENS requirement is specified as PC3 FD-FDD 1Rx REFSENS increased by RSD specified in </w:t>
      </w:r>
      <w:r w:rsidRPr="009259F6">
        <w:rPr>
          <w:rFonts w:eastAsia="Times New Roman"/>
          <w:b/>
          <w:bCs/>
          <w:sz w:val="20"/>
          <w:lang w:val="en-US" w:eastAsia="zh-CN"/>
        </w:rPr>
        <w:t>Table 7.3.2-1c</w:t>
      </w:r>
      <w:r>
        <w:rPr>
          <w:rFonts w:eastAsia="Times New Roman"/>
          <w:b/>
          <w:bCs/>
          <w:sz w:val="20"/>
          <w:lang w:val="en-US" w:eastAsia="zh-CN"/>
        </w:rPr>
        <w:t>. An example of core-requirement changes is proposed as a starting point below.</w:t>
      </w:r>
    </w:p>
    <w:p w14:paraId="2AE4FB39" w14:textId="77777777" w:rsidR="00DB740D" w:rsidRDefault="00DB740D" w:rsidP="00DB740D">
      <w:pPr>
        <w:tabs>
          <w:tab w:val="left" w:pos="3514"/>
        </w:tabs>
        <w:overflowPunct w:val="0"/>
        <w:autoSpaceDE w:val="0"/>
        <w:autoSpaceDN w:val="0"/>
        <w:adjustRightInd w:val="0"/>
        <w:spacing w:after="0"/>
        <w:jc w:val="both"/>
        <w:textAlignment w:val="baseline"/>
        <w:rPr>
          <w:sz w:val="20"/>
        </w:rPr>
      </w:pPr>
    </w:p>
    <w:p w14:paraId="436917AB" w14:textId="69861F79" w:rsidR="00371F39" w:rsidRPr="00F34CE4" w:rsidRDefault="000749E8" w:rsidP="00DB740D">
      <w:pPr>
        <w:tabs>
          <w:tab w:val="left" w:pos="3514"/>
        </w:tabs>
        <w:overflowPunct w:val="0"/>
        <w:autoSpaceDE w:val="0"/>
        <w:autoSpaceDN w:val="0"/>
        <w:adjustRightInd w:val="0"/>
        <w:spacing w:after="0"/>
        <w:jc w:val="both"/>
        <w:textAlignment w:val="baseline"/>
        <w:rPr>
          <w:rFonts w:eastAsia="Times New Roman"/>
          <w:sz w:val="20"/>
          <w:szCs w:val="22"/>
          <w:lang w:val="en-CA" w:eastAsia="en-GB"/>
        </w:rPr>
      </w:pPr>
      <w:r>
        <w:rPr>
          <w:sz w:val="20"/>
        </w:rPr>
        <w:t>“</w:t>
      </w:r>
      <w:r w:rsidR="00DB740D">
        <w:rPr>
          <w:sz w:val="20"/>
        </w:rPr>
        <w:t xml:space="preserve">For a power class 3 </w:t>
      </w:r>
      <w:proofErr w:type="spellStart"/>
      <w:r w:rsidR="00DB740D">
        <w:rPr>
          <w:sz w:val="20"/>
        </w:rPr>
        <w:t>RedCap</w:t>
      </w:r>
      <w:proofErr w:type="spellEnd"/>
      <w:r w:rsidR="00DB740D">
        <w:rPr>
          <w:sz w:val="20"/>
        </w:rPr>
        <w:t xml:space="preserve"> UE equipped with 1 Rx antenna ports, reference sensitivity for 2Rx antenna ports in Table 7.3.2-1a and in Table 7.3.2-1b shall be modified by the amount given in ΔR</w:t>
      </w:r>
      <w:r w:rsidR="00DB740D">
        <w:rPr>
          <w:sz w:val="13"/>
          <w:szCs w:val="13"/>
        </w:rPr>
        <w:t xml:space="preserve">1R </w:t>
      </w:r>
      <w:r w:rsidR="00DB740D">
        <w:rPr>
          <w:sz w:val="20"/>
        </w:rPr>
        <w:t xml:space="preserve">in Table 7.3I.2-1 for the applicable operating bands. For a power class 2 </w:t>
      </w:r>
      <w:proofErr w:type="spellStart"/>
      <w:r w:rsidR="00DB740D">
        <w:rPr>
          <w:sz w:val="20"/>
        </w:rPr>
        <w:t>RedCap</w:t>
      </w:r>
      <w:proofErr w:type="spellEnd"/>
      <w:r w:rsidR="00DB740D">
        <w:rPr>
          <w:sz w:val="20"/>
        </w:rPr>
        <w:t xml:space="preserve"> UE equipped with 1 Rx antenna port, certain degradation of the reference sensitivity in Table 7.3.2-1a is allowed and the reference sensitivity for 2Rx antenna ports in Table 7.3.2-1a shall be modified by the amount given in Table 7.3.2-1c for the applicable operating bands.</w:t>
      </w:r>
      <w:r>
        <w:rPr>
          <w:sz w:val="20"/>
        </w:rPr>
        <w:t>”</w:t>
      </w:r>
    </w:p>
    <w:sectPr w:rsidR="00371F39" w:rsidRPr="00F34CE4"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9BC24" w14:textId="77777777" w:rsidR="00275760" w:rsidRDefault="00275760">
      <w:pPr>
        <w:spacing w:after="0"/>
      </w:pPr>
      <w:r>
        <w:separator/>
      </w:r>
    </w:p>
  </w:endnote>
  <w:endnote w:type="continuationSeparator" w:id="0">
    <w:p w14:paraId="7E62519E" w14:textId="77777777" w:rsidR="00275760" w:rsidRDefault="002757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BB91A" w14:textId="77777777" w:rsidR="00275760" w:rsidRDefault="00275760">
      <w:pPr>
        <w:spacing w:after="0"/>
      </w:pPr>
      <w:r>
        <w:separator/>
      </w:r>
    </w:p>
  </w:footnote>
  <w:footnote w:type="continuationSeparator" w:id="0">
    <w:p w14:paraId="04C7DB63" w14:textId="77777777" w:rsidR="00275760" w:rsidRDefault="002757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20"/>
  </w:num>
  <w:num w:numId="2" w16cid:durableId="1349913533">
    <w:abstractNumId w:val="6"/>
  </w:num>
  <w:num w:numId="3" w16cid:durableId="400566554">
    <w:abstractNumId w:val="2"/>
  </w:num>
  <w:num w:numId="4" w16cid:durableId="423499854">
    <w:abstractNumId w:val="1"/>
  </w:num>
  <w:num w:numId="5" w16cid:durableId="89937095">
    <w:abstractNumId w:val="0"/>
  </w:num>
  <w:num w:numId="6" w16cid:durableId="2075009769">
    <w:abstractNumId w:val="27"/>
  </w:num>
  <w:num w:numId="7" w16cid:durableId="1634945144">
    <w:abstractNumId w:val="28"/>
  </w:num>
  <w:num w:numId="8" w16cid:durableId="1184632903">
    <w:abstractNumId w:val="19"/>
  </w:num>
  <w:num w:numId="9" w16cid:durableId="1923373814">
    <w:abstractNumId w:val="15"/>
  </w:num>
  <w:num w:numId="10" w16cid:durableId="1334841013">
    <w:abstractNumId w:val="24"/>
  </w:num>
  <w:num w:numId="11" w16cid:durableId="2122989903">
    <w:abstractNumId w:val="9"/>
  </w:num>
  <w:num w:numId="12" w16cid:durableId="1666129742">
    <w:abstractNumId w:val="7"/>
  </w:num>
  <w:num w:numId="13" w16cid:durableId="480461822">
    <w:abstractNumId w:val="25"/>
  </w:num>
  <w:num w:numId="14" w16cid:durableId="1338385821">
    <w:abstractNumId w:val="4"/>
  </w:num>
  <w:num w:numId="15" w16cid:durableId="1559322966">
    <w:abstractNumId w:val="16"/>
  </w:num>
  <w:num w:numId="16" w16cid:durableId="863052073">
    <w:abstractNumId w:val="10"/>
  </w:num>
  <w:num w:numId="17" w16cid:durableId="671034770">
    <w:abstractNumId w:val="23"/>
  </w:num>
  <w:num w:numId="18" w16cid:durableId="1433427790">
    <w:abstractNumId w:val="26"/>
  </w:num>
  <w:num w:numId="19" w16cid:durableId="1978298057">
    <w:abstractNumId w:val="12"/>
  </w:num>
  <w:num w:numId="20" w16cid:durableId="159783833">
    <w:abstractNumId w:val="11"/>
  </w:num>
  <w:num w:numId="21" w16cid:durableId="1835487726">
    <w:abstractNumId w:val="13"/>
  </w:num>
  <w:num w:numId="22" w16cid:durableId="1542668801">
    <w:abstractNumId w:val="8"/>
  </w:num>
  <w:num w:numId="23" w16cid:durableId="556161930">
    <w:abstractNumId w:val="22"/>
  </w:num>
  <w:num w:numId="24" w16cid:durableId="558638379">
    <w:abstractNumId w:val="5"/>
  </w:num>
  <w:num w:numId="25" w16cid:durableId="231087159">
    <w:abstractNumId w:val="3"/>
  </w:num>
  <w:num w:numId="26" w16cid:durableId="1431389381">
    <w:abstractNumId w:val="21"/>
  </w:num>
  <w:num w:numId="27" w16cid:durableId="1606762795">
    <w:abstractNumId w:val="17"/>
  </w:num>
  <w:num w:numId="28" w16cid:durableId="130291047">
    <w:abstractNumId w:val="14"/>
  </w:num>
  <w:num w:numId="29" w16cid:durableId="109262356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49"/>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49E8"/>
    <w:rsid w:val="000750F0"/>
    <w:rsid w:val="00075276"/>
    <w:rsid w:val="0007544C"/>
    <w:rsid w:val="000754FE"/>
    <w:rsid w:val="00075AB4"/>
    <w:rsid w:val="00075B60"/>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31A"/>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1ED3"/>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7E3"/>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161"/>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08"/>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760"/>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AE4"/>
    <w:rsid w:val="00315B3E"/>
    <w:rsid w:val="00315C3F"/>
    <w:rsid w:val="00315F2F"/>
    <w:rsid w:val="003165F2"/>
    <w:rsid w:val="00316A62"/>
    <w:rsid w:val="00316B5B"/>
    <w:rsid w:val="00316D4A"/>
    <w:rsid w:val="003172CE"/>
    <w:rsid w:val="0031745B"/>
    <w:rsid w:val="003176C1"/>
    <w:rsid w:val="00321122"/>
    <w:rsid w:val="0032143F"/>
    <w:rsid w:val="0032147C"/>
    <w:rsid w:val="00321CE5"/>
    <w:rsid w:val="00321F8E"/>
    <w:rsid w:val="00322061"/>
    <w:rsid w:val="00322AF6"/>
    <w:rsid w:val="00322E84"/>
    <w:rsid w:val="00323112"/>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A4D"/>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2E0"/>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225"/>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0E66"/>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03"/>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A0A"/>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71E"/>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64"/>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3F"/>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1CAF"/>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1BCF"/>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D47"/>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1C60"/>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03F"/>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0FA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4E75"/>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9F6"/>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4F8B"/>
    <w:rsid w:val="009459B4"/>
    <w:rsid w:val="00945A76"/>
    <w:rsid w:val="00945D0D"/>
    <w:rsid w:val="00945DA4"/>
    <w:rsid w:val="009460A6"/>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399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08D"/>
    <w:rsid w:val="009A647C"/>
    <w:rsid w:val="009A6581"/>
    <w:rsid w:val="009A666F"/>
    <w:rsid w:val="009A6BE1"/>
    <w:rsid w:val="009A7095"/>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BE"/>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2A3"/>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978"/>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D7F89"/>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9C0"/>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08DD"/>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6B3E"/>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CEF"/>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3C45"/>
    <w:rsid w:val="00DB4898"/>
    <w:rsid w:val="00DB49B6"/>
    <w:rsid w:val="00DB49FE"/>
    <w:rsid w:val="00DB4B69"/>
    <w:rsid w:val="00DB544D"/>
    <w:rsid w:val="00DB5659"/>
    <w:rsid w:val="00DB5688"/>
    <w:rsid w:val="00DB59C8"/>
    <w:rsid w:val="00DB5F9B"/>
    <w:rsid w:val="00DB61DA"/>
    <w:rsid w:val="00DB6EBA"/>
    <w:rsid w:val="00DB6FE9"/>
    <w:rsid w:val="00DB73F7"/>
    <w:rsid w:val="00DB740D"/>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D30"/>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8B2"/>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8E4"/>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6EFD"/>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33B"/>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5644"/>
    <w:rsid w:val="00F356F8"/>
    <w:rsid w:val="00F35CDC"/>
    <w:rsid w:val="00F36192"/>
    <w:rsid w:val="00F36200"/>
    <w:rsid w:val="00F368CE"/>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72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6CD"/>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9F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40D"/>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341163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756314790">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1</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2025-02-07T20:47:00Z</dcterms:created>
  <dcterms:modified xsi:type="dcterms:W3CDTF">2025-02-07T20:47:00Z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